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La </w:t>
      </w:r>
      <w:r w:rsidRPr="00153580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Dichiarazione di Ginevra dei diritti del fanciullo</w:t>
      </w:r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 è un documento redatto nel </w:t>
      </w:r>
      <w:hyperlink r:id="rId4" w:tooltip="1924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1924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 dalla </w:t>
      </w:r>
      <w:hyperlink r:id="rId5" w:tooltip="Società delle Nazioni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Società delle Nazioni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 in seguito alle devastanti conseguenze che la </w:t>
      </w:r>
      <w:hyperlink r:id="rId6" w:tooltip="Prima guerra mondiale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Prima guerra mondiale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 produsse in particolare sui bambini. Per redigerlo la </w:t>
      </w:r>
      <w:hyperlink r:id="rId7" w:tooltip="Società delle Nazioni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Società delle Nazioni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 fece riferimento alla </w:t>
      </w:r>
      <w:hyperlink r:id="rId8" w:tooltip="Carta dei Diritti del Bambino (la pagina non esiste)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Carta dei Diritti del Bambino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 scritta nel </w:t>
      </w:r>
      <w:hyperlink r:id="rId9" w:tooltip="1923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1923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 da </w:t>
      </w:r>
      <w:hyperlink r:id="rId10" w:tooltip="Eglantyne Jebb" w:history="1">
        <w:proofErr w:type="spellStart"/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Eglantyne</w:t>
        </w:r>
        <w:proofErr w:type="spellEnd"/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 xml:space="preserve"> </w:t>
        </w:r>
        <w:proofErr w:type="spellStart"/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Jebb</w:t>
        </w:r>
        <w:proofErr w:type="spellEnd"/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, dama della </w:t>
      </w:r>
      <w:hyperlink r:id="rId11" w:tooltip="Croce rossa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Croce rossa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, la quale fondò </w:t>
      </w:r>
      <w:hyperlink r:id="rId12" w:tooltip="Save the Children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 xml:space="preserve">Save the </w:t>
        </w:r>
        <w:proofErr w:type="spellStart"/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Children</w:t>
        </w:r>
        <w:proofErr w:type="spellEnd"/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 nel 1919. Successivamente, con l'istituzione dell'</w:t>
      </w:r>
      <w:hyperlink r:id="rId13" w:tooltip="ONU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ONU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, la dichiarazione è stata approvata il 20 novembre </w:t>
      </w:r>
      <w:hyperlink r:id="rId14" w:tooltip="1959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1959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 dall'</w:t>
      </w:r>
      <w:hyperlink r:id="rId15" w:tooltip="Assemblea Generale delle Nazioni Unite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Assemblea Generale delle Nazioni Unite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 e revisionata nel </w:t>
      </w:r>
      <w:hyperlink r:id="rId16" w:tooltip="1989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1989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, quando ad essa ha fatto seguire la </w:t>
      </w:r>
      <w:hyperlink r:id="rId17" w:tooltip="Convenzione Internazionale sui Diritti dell'Infanzia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Convenzione Internazionale sui Diritti dell'Infanzia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. Questo documento in realtà non è vincolante per i singoli stati, ciò significa che non ha valore giuridico nel </w:t>
      </w:r>
      <w:hyperlink r:id="rId18" w:tooltip="Diritto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diritto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 xml:space="preserve">, e tanto meno nel </w:t>
      </w:r>
      <w:hyperlink r:id="rId19" w:tooltip="Diritto internazionale" w:history="1">
        <w:r w:rsidRPr="00153580">
          <w:rPr>
            <w:rFonts w:ascii="Arial" w:eastAsia="Times New Roman" w:hAnsi="Arial" w:cs="Arial"/>
            <w:sz w:val="16"/>
            <w:szCs w:val="16"/>
            <w:lang w:eastAsia="it-IT"/>
          </w:rPr>
          <w:t>diritto internazionale</w:t>
        </w:r>
      </w:hyperlink>
      <w:r w:rsidRPr="00153580">
        <w:rPr>
          <w:rFonts w:ascii="Arial" w:eastAsia="Times New Roman" w:hAnsi="Arial" w:cs="Arial"/>
          <w:sz w:val="16"/>
          <w:szCs w:val="16"/>
          <w:lang w:eastAsia="it-IT"/>
        </w:rPr>
        <w:t>, ma impegna i paesi membri soltanto da un p</w:t>
      </w:r>
      <w:bookmarkStart w:id="0" w:name="_GoBack"/>
      <w:bookmarkEnd w:id="0"/>
      <w:r w:rsidRPr="00153580">
        <w:rPr>
          <w:rFonts w:ascii="Arial" w:eastAsia="Times New Roman" w:hAnsi="Arial" w:cs="Arial"/>
          <w:sz w:val="16"/>
          <w:szCs w:val="16"/>
          <w:lang w:eastAsia="it-IT"/>
        </w:rPr>
        <w:t>unto di vista morale</w:t>
      </w:r>
    </w:p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53580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153580">
        <w:rPr>
          <w:rFonts w:ascii="Arial" w:eastAsia="Times New Roman" w:hAnsi="Arial" w:cs="Arial"/>
          <w:sz w:val="18"/>
          <w:szCs w:val="18"/>
          <w:lang w:eastAsia="it-IT"/>
        </w:rPr>
        <w:t>Il documento dichiara che:</w:t>
      </w:r>
    </w:p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53580">
        <w:rPr>
          <w:rFonts w:ascii="Arial" w:eastAsia="Times New Roman" w:hAnsi="Arial" w:cs="Arial"/>
          <w:sz w:val="18"/>
          <w:szCs w:val="18"/>
          <w:lang w:eastAsia="it-IT"/>
        </w:rPr>
        <w:t>Principio primo: il fanciullo deve godere di tutti i diritti enunciati nella presente Dichiarazione. Questi diritti devono essere riconosciuti a tutti i fanciulli senza alcuna eccezione, senza distinzione e discriminazione fondata sulla razza, il colore,</w:t>
      </w:r>
      <w:r w:rsidRPr="0015358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153580">
        <w:rPr>
          <w:rFonts w:ascii="Arial" w:eastAsia="Times New Roman" w:hAnsi="Arial" w:cs="Arial"/>
          <w:sz w:val="18"/>
          <w:szCs w:val="18"/>
          <w:lang w:eastAsia="it-IT"/>
        </w:rPr>
        <w:t>il sesso, la lingua la religione od opinioni politiche o di altro genere, l'origine nazionale o sociale, le condizioni economiche, la nascita, od ogni altra condizione sia che si riferisca al fanciullo stesso o alla sua famiglia.</w:t>
      </w:r>
    </w:p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53580">
        <w:rPr>
          <w:rFonts w:ascii="Arial" w:eastAsia="Times New Roman" w:hAnsi="Arial" w:cs="Arial"/>
          <w:sz w:val="18"/>
          <w:szCs w:val="18"/>
          <w:lang w:eastAsia="it-IT"/>
        </w:rPr>
        <w:t>Principio secondo: il fanciullo deve beneficiare di una speciale protezione e godere di possibilità e facilitazioni, in base alla legge e ad altri provvedimenti, in mo</w:t>
      </w:r>
      <w:r w:rsidRPr="00153580">
        <w:rPr>
          <w:rFonts w:ascii="Arial" w:eastAsia="Times New Roman" w:hAnsi="Arial" w:cs="Arial"/>
          <w:sz w:val="18"/>
          <w:szCs w:val="18"/>
          <w:lang w:eastAsia="it-IT"/>
        </w:rPr>
        <w:t>do da essere in grado di c</w:t>
      </w:r>
      <w:r w:rsidRPr="00153580">
        <w:rPr>
          <w:rFonts w:ascii="Arial" w:eastAsia="Times New Roman" w:hAnsi="Arial" w:cs="Arial"/>
          <w:sz w:val="18"/>
          <w:szCs w:val="18"/>
          <w:lang w:eastAsia="it-IT"/>
        </w:rPr>
        <w:t>rescere in modo sano e normale sul piano fisico intellettuale morale spirituale e sociale in condizioni di libertà e di dignità. Nell'adozione delle leggi rivolte a tal fine la considerazione determinante deve essere del fanciullo.</w:t>
      </w:r>
    </w:p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53580">
        <w:rPr>
          <w:rFonts w:ascii="Arial" w:eastAsia="Times New Roman" w:hAnsi="Arial" w:cs="Arial"/>
          <w:sz w:val="18"/>
          <w:szCs w:val="18"/>
          <w:lang w:eastAsia="it-IT"/>
        </w:rPr>
        <w:t>Principio terzo: il fanciullo ha diritto, sin dalla nascita, a un nome e una nazionalità.</w:t>
      </w:r>
    </w:p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53580">
        <w:rPr>
          <w:rFonts w:ascii="Arial" w:eastAsia="Times New Roman" w:hAnsi="Arial" w:cs="Arial"/>
          <w:sz w:val="18"/>
          <w:szCs w:val="18"/>
          <w:lang w:eastAsia="it-IT"/>
        </w:rPr>
        <w:t>Principio quarto: il fanciullo deve beneficiare della sicurezza sociale. Deve poter crescere e svilupparsi in modo sano. A tal fine devono essere assicurate, a lui e alla madre le cure mediche e le protezioni sociali adeguate, specialmente nel periodo precedente e seguente alla nascita Il fanciullo ha diritto ad una alimentazione, ad un alloggio, a svaghi e a cure mediche adeguate.</w:t>
      </w:r>
    </w:p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53580">
        <w:rPr>
          <w:rFonts w:ascii="Arial" w:eastAsia="Times New Roman" w:hAnsi="Arial" w:cs="Arial"/>
          <w:sz w:val="18"/>
          <w:szCs w:val="18"/>
          <w:lang w:eastAsia="it-IT"/>
        </w:rPr>
        <w:t>Principio quinto: il fanciullo che si trova in una situazione di minoranza fisica, mentale o sociale ha diritto a ricevere il trattamento, l'educazione e le cure speciali di cui esso abbisogna per il suo stato o la sua condizione.</w:t>
      </w:r>
    </w:p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53580">
        <w:rPr>
          <w:rFonts w:ascii="Arial" w:eastAsia="Times New Roman" w:hAnsi="Arial" w:cs="Arial"/>
          <w:sz w:val="18"/>
          <w:szCs w:val="18"/>
          <w:lang w:eastAsia="it-IT"/>
        </w:rPr>
        <w:t>Principio sesto: il fanciullo, per lo sviluppo armonioso della sua personalità ha bisogno di amore e di comprensione. Egli deve, per quanto è possibile, crescere sotto le cure e la responsabilità dei genitori e, in ogni caso, in atmosfera d'affetto e di sicurezza materiale e morale. Salvo circostanze eccezionali, il bambino in tenera età non deve essere separato dalla madre. La società e i poteri pubblici hanno il dovere di aver cura particolare dei fanciulli senza famiglia o di quelli che non hanno sufficienti mezzi di sussistenza. È desiderabile che alle famiglie numerose siano concessi sussidi statali o altre provvidenze per il mantenimento dei figliuoli.</w:t>
      </w:r>
    </w:p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53580">
        <w:rPr>
          <w:rFonts w:ascii="Arial" w:eastAsia="Times New Roman" w:hAnsi="Arial" w:cs="Arial"/>
          <w:sz w:val="18"/>
          <w:szCs w:val="18"/>
          <w:lang w:eastAsia="it-IT"/>
        </w:rPr>
        <w:t>Principio settimo: il fanciullo ha diritto a una educazione, che, almeno a livello elementare deve essere gratuita e obbligatoria. Egli ha diritto a godere di un'educazione che contribuisca alla sua cultura generale e gli consenta, in una situazione di eguaglianza di possibilità, di sviluppare le sue facoltà, il suo giudizio personale e il suo senso di responsabilità morale e sociale, e di divenire un membro utile alla società. Il superiore interesse del fanciullo deve essere la guida di coloro che hanno la responsabilità della sua educazione e del suo orientamento; tale responsabilità incombe in primo luogo sui propri genitori. Ogni fanciullo deve avere tutte le possibilità di dedicarsi a giochi e attività ricreative che devono essere orientate a fini educativi; la società e i poteri pubblici devono fare ogni sforzo per favorire la realizzazione di tale diritto.</w:t>
      </w:r>
    </w:p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53580">
        <w:rPr>
          <w:rFonts w:ascii="Arial" w:eastAsia="Times New Roman" w:hAnsi="Arial" w:cs="Arial"/>
          <w:sz w:val="18"/>
          <w:szCs w:val="18"/>
          <w:lang w:eastAsia="it-IT"/>
        </w:rPr>
        <w:t>Principio ottavo: in tutte le circostanze, il fanciullo deve essere fra i primi a ricevere protezione e soccorso.</w:t>
      </w:r>
    </w:p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53580">
        <w:rPr>
          <w:rFonts w:ascii="Arial" w:eastAsia="Times New Roman" w:hAnsi="Arial" w:cs="Arial"/>
          <w:sz w:val="18"/>
          <w:szCs w:val="18"/>
          <w:lang w:eastAsia="it-IT"/>
        </w:rPr>
        <w:t>Principio nono: il fanciullo deve essere protetto contro ogni forma di negligenza, di crudeltà o di sfruttamento. Egli non deve essere sottoposto a nessuna forma di tratta. Il fanciullo non deve essere inserito nell'attività produttiva prima di aver raggiunto un'età minima adatta. In nessun caso deve essere costretto o autorizzato ad assumere un'occupazione o un impiego che nuocciano alla sua salute o che ostacolino il suo sviluppo fisico, mentale, o morale.</w:t>
      </w:r>
    </w:p>
    <w:p w:rsidR="00153580" w:rsidRPr="00153580" w:rsidRDefault="00153580" w:rsidP="001535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53580">
        <w:rPr>
          <w:rFonts w:ascii="Arial" w:eastAsia="Times New Roman" w:hAnsi="Arial" w:cs="Arial"/>
          <w:sz w:val="18"/>
          <w:szCs w:val="18"/>
          <w:lang w:eastAsia="it-IT"/>
        </w:rPr>
        <w:t xml:space="preserve">Principio decimo: il fanciullo deve essere protetto contro le pratiche che possono portare alla discriminazione razziale, alla discriminazione religiosa e ad ogni altra forma di discriminazione. Deve essere educato in uno spirito di comprensione, di tolleranza, di amicizia fra i popoli, di pace e di fratellanza universale, e nella consapevolezza che deve consacrare le sue energie e la sua intelligenza al servizio dei propri </w:t>
      </w:r>
      <w:proofErr w:type="spellStart"/>
      <w:r w:rsidRPr="00153580">
        <w:rPr>
          <w:rFonts w:ascii="Arial" w:eastAsia="Times New Roman" w:hAnsi="Arial" w:cs="Arial"/>
          <w:sz w:val="18"/>
          <w:szCs w:val="18"/>
          <w:lang w:eastAsia="it-IT"/>
        </w:rPr>
        <w:t>simili.</w:t>
      </w:r>
      <w:proofErr w:type="spellEnd"/>
    </w:p>
    <w:p w:rsidR="00A718BE" w:rsidRPr="00153580" w:rsidRDefault="00A718BE">
      <w:pPr>
        <w:rPr>
          <w:rFonts w:ascii="Comic Sans MS" w:hAnsi="Comic Sans MS"/>
          <w:sz w:val="18"/>
          <w:szCs w:val="18"/>
        </w:rPr>
      </w:pPr>
    </w:p>
    <w:sectPr w:rsidR="00A718BE" w:rsidRPr="00153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C1"/>
    <w:rsid w:val="00153580"/>
    <w:rsid w:val="00733FC1"/>
    <w:rsid w:val="00A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63A2-D863-4587-BEDE-253175CD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/index.php?title=Carta_dei_Diritti_del_Bambino&amp;action=edit&amp;redlink=1" TargetMode="External"/><Relationship Id="rId13" Type="http://schemas.openxmlformats.org/officeDocument/2006/relationships/hyperlink" Target="https://it.wikipedia.org/wiki/ONU" TargetMode="External"/><Relationship Id="rId18" Type="http://schemas.openxmlformats.org/officeDocument/2006/relationships/hyperlink" Target="https://it.wikipedia.org/wiki/Diritt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t.wikipedia.org/wiki/Societ%C3%A0_delle_Nazioni" TargetMode="External"/><Relationship Id="rId12" Type="http://schemas.openxmlformats.org/officeDocument/2006/relationships/hyperlink" Target="https://it.wikipedia.org/wiki/Save_the_Children" TargetMode="External"/><Relationship Id="rId17" Type="http://schemas.openxmlformats.org/officeDocument/2006/relationships/hyperlink" Target="https://it.wikipedia.org/wiki/Convenzione_Internazionale_sui_Diritti_dell%27Infanz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198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Prima_guerra_mondiale" TargetMode="External"/><Relationship Id="rId11" Type="http://schemas.openxmlformats.org/officeDocument/2006/relationships/hyperlink" Target="https://it.wikipedia.org/wiki/Croce_rossa" TargetMode="External"/><Relationship Id="rId5" Type="http://schemas.openxmlformats.org/officeDocument/2006/relationships/hyperlink" Target="https://it.wikipedia.org/wiki/Societ%C3%A0_delle_Nazioni" TargetMode="External"/><Relationship Id="rId15" Type="http://schemas.openxmlformats.org/officeDocument/2006/relationships/hyperlink" Target="https://it.wikipedia.org/wiki/Assemblea_Generale_delle_Nazioni_Unite" TargetMode="External"/><Relationship Id="rId10" Type="http://schemas.openxmlformats.org/officeDocument/2006/relationships/hyperlink" Target="https://it.wikipedia.org/wiki/Eglantyne_Jebb" TargetMode="External"/><Relationship Id="rId19" Type="http://schemas.openxmlformats.org/officeDocument/2006/relationships/hyperlink" Target="https://it.wikipedia.org/wiki/Diritto_internazionale" TargetMode="External"/><Relationship Id="rId4" Type="http://schemas.openxmlformats.org/officeDocument/2006/relationships/hyperlink" Target="https://it.wikipedia.org/wiki/1924" TargetMode="External"/><Relationship Id="rId9" Type="http://schemas.openxmlformats.org/officeDocument/2006/relationships/hyperlink" Target="https://it.wikipedia.org/wiki/1923" TargetMode="External"/><Relationship Id="rId14" Type="http://schemas.openxmlformats.org/officeDocument/2006/relationships/hyperlink" Target="https://it.wikipedia.org/wiki/195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pavarotti</dc:creator>
  <cp:keywords/>
  <dc:description/>
  <cp:lastModifiedBy>monica pavarotti</cp:lastModifiedBy>
  <cp:revision>2</cp:revision>
  <dcterms:created xsi:type="dcterms:W3CDTF">2016-10-08T15:31:00Z</dcterms:created>
  <dcterms:modified xsi:type="dcterms:W3CDTF">2016-10-08T15:31:00Z</dcterms:modified>
</cp:coreProperties>
</file>